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916" w:type="dxa"/>
        <w:tblInd w:w="-998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2F4B30" w:rsidTr="00D15697">
        <w:trPr>
          <w:trHeight w:val="8080"/>
        </w:trPr>
        <w:tc>
          <w:tcPr>
            <w:tcW w:w="5458" w:type="dxa"/>
          </w:tcPr>
          <w:p w:rsidR="002F4B30" w:rsidRPr="005500E2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</w:pPr>
          </w:p>
          <w:p w:rsidR="00D15697" w:rsidRPr="00656678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Hélium na 20/ 28 balónikov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Návod na obsluhu: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 xml:space="preserve">1. Z nádoby odkrúťte červený vrchnák.                                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2. Nasaďte žltý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3. Nasaďte balónik na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4. Stlačte a nafúknite balónik.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5. Hélium môžete vyskúšať aj na zmenu hlasu. Nafúknite héliom balónik a vdýchnite z balónika hélium.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Varovné hlásenia: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*Nádoba je pod tlakom. Po použití nevŕtajte do nádoby ani ju nepodpaľujte. Nenechávajte na priamom slnku a nevystavujte väčšej teplote než 50 °C. Uchovávajte mimo dosahu detí. Nie je škodlivé pre zdravie a životné prostredie. Uchovávajte mimo dosahu detí.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Doba vznášania: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Latex: približne 5 až 7 hodín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Fólia: približne 4 dni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NA RECYKLÁCIU ALEBO LIKVIDÁCIU BOMBY:</w:t>
            </w:r>
          </w:p>
          <w:p w:rsidR="002F4B30" w:rsidRDefault="00D15697" w:rsidP="00D15697">
            <w:pPr>
              <w:tabs>
                <w:tab w:val="left" w:pos="4820"/>
              </w:tabs>
              <w:ind w:right="-24"/>
              <w:jc w:val="both"/>
            </w:pPr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08416" behindDoc="0" locked="0" layoutInCell="1" allowOverlap="1" wp14:anchorId="2F0F5C42" wp14:editId="7B530F36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1007745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09440" behindDoc="1" locked="0" layoutInCell="1" allowOverlap="1" wp14:anchorId="3C7B9682" wp14:editId="6C49D7DC">
                  <wp:simplePos x="0" y="0"/>
                  <wp:positionH relativeFrom="margin">
                    <wp:posOffset>2169160</wp:posOffset>
                  </wp:positionH>
                  <wp:positionV relativeFrom="paragraph">
                    <wp:posOffset>1014095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</w:p>
        </w:tc>
        <w:tc>
          <w:tcPr>
            <w:tcW w:w="5458" w:type="dxa"/>
          </w:tcPr>
          <w:p w:rsid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</w:pPr>
          </w:p>
          <w:p w:rsidR="00D15697" w:rsidRPr="00656678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Hélium na 20/ 28 balónikov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Návod na obsluhu: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 xml:space="preserve">1. Z nádoby odkrúťte červený vrchnák.                                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2. Nasaďte žltý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3. Nasaďte balónik na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4. Stlačte a nafúknite balónik.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5. Hélium môžete vyskúšať aj na zmenu hlasu. Nafúknite héliom balónik a vdýchnite z balónika hélium.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Varovné hlásenia: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*Nádoba je pod tlakom. Po použití nevŕtajte do nádoby ani ju nepodpaľujte. Nenechávajte na priamom slnku a nevystavujte väčšej teplote než 50 °C. Uchovávajte mimo dosahu detí. Nie je škodlivé pre zdravie a životné prostredie. Uchovávajte mimo dosahu detí.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Doba vznášania: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Latex: približne 5 až 7 hodín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Fólia: približne 4 dni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NA RECYKLÁCIU ALEBO LIKVIDÁCIU BOMBY:</w:t>
            </w:r>
          </w:p>
          <w:p w:rsidR="002F4B30" w:rsidRDefault="00D15697" w:rsidP="00D15697">
            <w:pPr>
              <w:ind w:left="34" w:right="-108"/>
            </w:pPr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11488" behindDoc="0" locked="0" layoutInCell="1" allowOverlap="1" wp14:anchorId="2F0F5C42" wp14:editId="7B530F36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1007745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19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12512" behindDoc="1" locked="0" layoutInCell="1" allowOverlap="1" wp14:anchorId="3C7B9682" wp14:editId="6C49D7DC">
                  <wp:simplePos x="0" y="0"/>
                  <wp:positionH relativeFrom="margin">
                    <wp:posOffset>2169160</wp:posOffset>
                  </wp:positionH>
                  <wp:positionV relativeFrom="paragraph">
                    <wp:posOffset>1014095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2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  <w:bookmarkStart w:id="0" w:name="_GoBack"/>
            <w:bookmarkEnd w:id="0"/>
          </w:p>
        </w:tc>
      </w:tr>
      <w:tr w:rsidR="002F4B30" w:rsidTr="00D15697">
        <w:trPr>
          <w:trHeight w:val="7785"/>
        </w:trPr>
        <w:tc>
          <w:tcPr>
            <w:tcW w:w="5458" w:type="dxa"/>
          </w:tcPr>
          <w:p w:rsidR="002F4B30" w:rsidRPr="002F4B30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szCs w:val="10"/>
                <w:lang w:eastAsia="sk-SK"/>
              </w:rPr>
            </w:pPr>
          </w:p>
          <w:p w:rsidR="00D15697" w:rsidRPr="00656678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Hélium na 20/ 28 balónikov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Návod na obsluhu: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 xml:space="preserve">1. Z nádoby odkrúťte červený vrchnák.                                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2. Nasaďte žltý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3. Nasaďte balónik na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4. Stlačte a nafúknite balónik.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5. Hélium môžete vyskúšať aj na zmenu hlasu. Nafúknite héliom balónik a vdýchnite z balónika hélium.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Varovné hlásenia: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*Nádoba je pod tlakom. Po použití nevŕtajte do nádoby ani ju nepodpaľujte. Nenechávajte na priamom slnku a nevystavujte väčšej teplote než 50 °C. Uchovávajte mimo dosahu detí. Nie je škodlivé pre zdravie a životné prostredie. Uchovávajte mimo dosahu detí.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Doba vznášania: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Latex: približne 5 až 7 hodín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Fólia: približne 4 dni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NA RECYKLÁCIU ALEBO LIKVIDÁCIU BOMBY:</w:t>
            </w:r>
          </w:p>
          <w:p w:rsidR="002F4B30" w:rsidRDefault="00D15697" w:rsidP="00D15697">
            <w:pPr>
              <w:ind w:left="34"/>
            </w:pPr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696128" behindDoc="0" locked="0" layoutInCell="1" allowOverlap="1" wp14:anchorId="2D156AE7" wp14:editId="29B2EE4B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1007745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697152" behindDoc="1" locked="0" layoutInCell="1" allowOverlap="1" wp14:anchorId="506C8CEF" wp14:editId="6F6796EC">
                  <wp:simplePos x="0" y="0"/>
                  <wp:positionH relativeFrom="margin">
                    <wp:posOffset>2169160</wp:posOffset>
                  </wp:positionH>
                  <wp:positionV relativeFrom="paragraph">
                    <wp:posOffset>1014095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9" name="Obrázo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</w:p>
        </w:tc>
        <w:tc>
          <w:tcPr>
            <w:tcW w:w="5458" w:type="dxa"/>
          </w:tcPr>
          <w:p w:rsidR="002F4B30" w:rsidRPr="002F4B30" w:rsidRDefault="002F4B30" w:rsidP="002F4B30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szCs w:val="10"/>
                <w:lang w:eastAsia="sk-SK"/>
              </w:rPr>
            </w:pPr>
          </w:p>
          <w:p w:rsidR="00D15697" w:rsidRPr="00656678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5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color w:val="222222"/>
                <w:sz w:val="16"/>
                <w:szCs w:val="15"/>
                <w:u w:val="single"/>
                <w:lang w:eastAsia="sk-SK"/>
              </w:rPr>
              <w:t xml:space="preserve">Hélium na 20/ 28 balónikov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0"/>
                <w:lang w:eastAsia="sk-SK"/>
              </w:rPr>
            </w:pP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Návod na obsluhu: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 xml:space="preserve">1. Z nádoby odkrúťte červený vrchnák.                                 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2. Nasaďte žltý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3. Nasaďte balónik na nadstavec.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4. Stlačte a nafúknite balónik.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left="34" w:right="-24"/>
              <w:jc w:val="both"/>
              <w:rPr>
                <w:rFonts w:ascii="Arial" w:eastAsia="Times New Roman" w:hAnsi="Arial" w:cs="Arial"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5. Hélium môžete vyskúšať aj na zmenu hlasu. Nafúknite héliom balónik a vdýchnite z balónika hélium.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Varovné hlásenia: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*Nádoba je pod tlakom. Po použití nevŕtajte do nádoby ani ju nepodpaľujte. Nenechávajte na priamom slnku a nevystavujte väčšej teplote než 50 °C. Uchovávajte mimo dosahu detí. Nie je škodlivé pre zdravie a životné prostredie. Uchovávajte mimo dosahu detí.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Doba vznášania: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Latex: približne 5 až 7 hodín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Fólia: približne 4 dni</w:t>
            </w:r>
          </w:p>
          <w:p w:rsidR="00D15697" w:rsidRPr="00D15697" w:rsidRDefault="00D15697" w:rsidP="00D15697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</w:pPr>
            <w:r w:rsidRPr="00D15697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k-SK"/>
              </w:rPr>
              <w:t>POKYNY NA RECYKLÁCIU ALEBO LIKVIDÁCIU BOMBY:</w:t>
            </w:r>
          </w:p>
          <w:p w:rsidR="002F4B30" w:rsidRDefault="00D15697" w:rsidP="00D15697">
            <w:pPr>
              <w:ind w:left="34"/>
            </w:pPr>
            <w:r w:rsidRPr="00D15697">
              <w:rPr>
                <w:rFonts w:ascii="Arial" w:eastAsia="Times New Roman" w:hAnsi="Arial" w:cs="Arial"/>
                <w:noProof/>
                <w:color w:val="222222"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05344" behindDoc="0" locked="0" layoutInCell="1" allowOverlap="1" wp14:anchorId="40409B64" wp14:editId="099628C4">
                  <wp:simplePos x="0" y="0"/>
                  <wp:positionH relativeFrom="column">
                    <wp:posOffset>2784475</wp:posOffset>
                  </wp:positionH>
                  <wp:positionV relativeFrom="paragraph">
                    <wp:posOffset>1007745</wp:posOffset>
                  </wp:positionV>
                  <wp:extent cx="584200" cy="584200"/>
                  <wp:effectExtent l="0" t="0" r="6350" b="6350"/>
                  <wp:wrapThrough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hrough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5697">
              <w:rPr>
                <w:rFonts w:cstheme="minorHAnsi"/>
                <w:noProof/>
                <w:sz w:val="21"/>
                <w:szCs w:val="21"/>
                <w:lang w:eastAsia="sk-SK"/>
              </w:rPr>
              <w:drawing>
                <wp:anchor distT="0" distB="0" distL="114300" distR="114300" simplePos="0" relativeHeight="251706368" behindDoc="1" locked="0" layoutInCell="1" allowOverlap="1" wp14:anchorId="60A6AE15" wp14:editId="75715562">
                  <wp:simplePos x="0" y="0"/>
                  <wp:positionH relativeFrom="margin">
                    <wp:posOffset>2169160</wp:posOffset>
                  </wp:positionH>
                  <wp:positionV relativeFrom="paragraph">
                    <wp:posOffset>1014095</wp:posOffset>
                  </wp:positionV>
                  <wp:extent cx="577850" cy="577850"/>
                  <wp:effectExtent l="0" t="0" r="0" b="0"/>
                  <wp:wrapThrough wrapText="bothSides">
                    <wp:wrapPolygon edited="0">
                      <wp:start x="0" y="0"/>
                      <wp:lineTo x="0" y="20651"/>
                      <wp:lineTo x="20651" y="20651"/>
                      <wp:lineTo x="20651" y="0"/>
                      <wp:lineTo x="0" y="0"/>
                    </wp:wrapPolygon>
                  </wp:wrapThrough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5697">
              <w:rPr>
                <w:rFonts w:ascii="Arial" w:eastAsia="Times New Roman" w:hAnsi="Arial" w:cs="Arial"/>
                <w:color w:val="222222"/>
                <w:sz w:val="21"/>
                <w:szCs w:val="21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</w:p>
        </w:tc>
      </w:tr>
    </w:tbl>
    <w:p w:rsidR="008E3ACA" w:rsidRDefault="008E3ACA" w:rsidP="002F4B30"/>
    <w:sectPr w:rsidR="008E3ACA" w:rsidSect="002F4B3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30"/>
    <w:rsid w:val="002F4B30"/>
    <w:rsid w:val="005500E2"/>
    <w:rsid w:val="00656678"/>
    <w:rsid w:val="008E3ACA"/>
    <w:rsid w:val="00C570C4"/>
    <w:rsid w:val="00D1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26E8-813C-4886-AEF0-F7462B9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B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F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cp:lastPrinted>2018-03-09T08:57:00Z</cp:lastPrinted>
  <dcterms:created xsi:type="dcterms:W3CDTF">2018-03-13T10:21:00Z</dcterms:created>
  <dcterms:modified xsi:type="dcterms:W3CDTF">2018-03-13T10:21:00Z</dcterms:modified>
</cp:coreProperties>
</file>